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9" w:rsidRPr="00FA466A" w:rsidRDefault="00DB3ED9" w:rsidP="00DB3ED9">
      <w:pPr>
        <w:pStyle w:val="a3"/>
        <w:spacing w:beforeAutospacing="0" w:afterAutospacing="0"/>
        <w:jc w:val="center"/>
        <w:rPr>
          <w:lang w:val="ru-RU"/>
        </w:rPr>
      </w:pPr>
      <w:r w:rsidRPr="00FA466A">
        <w:rPr>
          <w:lang w:val="ru-RU"/>
        </w:rPr>
        <w:t>Муниципальное бюджетное общеобразовательное учреждение</w:t>
      </w:r>
    </w:p>
    <w:p w:rsidR="00DB3ED9" w:rsidRPr="00FA466A" w:rsidRDefault="00DB3ED9" w:rsidP="00DB3ED9">
      <w:pPr>
        <w:pStyle w:val="a3"/>
        <w:spacing w:beforeAutospacing="0" w:afterAutospacing="0"/>
        <w:jc w:val="center"/>
        <w:rPr>
          <w:lang w:val="ru-RU"/>
        </w:rPr>
      </w:pPr>
      <w:r w:rsidRPr="00FA466A">
        <w:rPr>
          <w:lang w:val="ru-RU"/>
        </w:rPr>
        <w:t>Зубковская основная общеобразовательная школа № 20</w:t>
      </w:r>
    </w:p>
    <w:p w:rsidR="00DB3ED9" w:rsidRPr="00827C37" w:rsidRDefault="00DB3ED9" w:rsidP="00DB3ED9">
      <w:pPr>
        <w:pStyle w:val="a3"/>
        <w:spacing w:beforeAutospacing="0" w:afterAutospacing="0"/>
        <w:jc w:val="center"/>
        <w:rPr>
          <w:lang w:val="ru-RU"/>
        </w:rPr>
      </w:pPr>
      <w:r w:rsidRPr="00827C37">
        <w:rPr>
          <w:lang w:val="ru-RU"/>
        </w:rPr>
        <w:t>(МБОУ Зубковская ООШ № 20)</w:t>
      </w:r>
    </w:p>
    <w:p w:rsidR="00783BEC" w:rsidRPr="00DB3ED9" w:rsidRDefault="00DB3E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DB3ED9">
        <w:rPr>
          <w:lang w:val="ru-RU"/>
        </w:rPr>
        <w:br/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школьного этапа Всероссийской олимпиады школьников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DB3ED9" w:rsidRDefault="00DB3ED9" w:rsidP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приказа Министерства образования и молодежной политики Свердловской области от 31.08.2023 . № 986-Д «Об организации и проведении школьного этапа Всероссийской олимпиады школьников в Свердловской области в 2023/2024 учебном году», приказа Управления образования администрации Тугулымского городского округа от 06.09.2023 № 88, </w:t>
      </w:r>
      <w:r w:rsidRPr="004962E9">
        <w:rPr>
          <w:rFonts w:hAnsi="Times New Roman" w:cs="Times New Roman"/>
          <w:color w:val="000000"/>
          <w:sz w:val="24"/>
          <w:szCs w:val="24"/>
          <w:lang w:val="ru-RU"/>
        </w:rPr>
        <w:t>Приказа школы №</w:t>
      </w:r>
      <w:r w:rsidR="004962E9">
        <w:rPr>
          <w:rFonts w:hAnsi="Times New Roman" w:cs="Times New Roman"/>
          <w:color w:val="000000"/>
          <w:sz w:val="24"/>
          <w:szCs w:val="24"/>
          <w:lang w:val="ru-RU"/>
        </w:rPr>
        <w:t xml:space="preserve"> 69/1</w:t>
      </w:r>
      <w:r w:rsidRPr="004962E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4962E9">
        <w:rPr>
          <w:rFonts w:hAnsi="Times New Roman" w:cs="Times New Roman"/>
          <w:color w:val="000000"/>
          <w:sz w:val="24"/>
          <w:szCs w:val="24"/>
          <w:lang w:val="ru-RU"/>
        </w:rPr>
        <w:t xml:space="preserve"> 07.09.2023</w:t>
      </w:r>
      <w:r w:rsidRPr="004962E9">
        <w:rPr>
          <w:rFonts w:hAnsi="Times New Roman" w:cs="Times New Roman"/>
          <w:color w:val="000000"/>
          <w:sz w:val="24"/>
          <w:szCs w:val="24"/>
          <w:lang w:val="ru-RU"/>
        </w:rPr>
        <w:t xml:space="preserve"> «Об организации и проведении школьного этапа Всероссийской </w:t>
      </w:r>
      <w:r w:rsidR="004962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962E9">
        <w:rPr>
          <w:rFonts w:hAnsi="Times New Roman" w:cs="Times New Roman"/>
          <w:color w:val="000000"/>
          <w:sz w:val="24"/>
          <w:szCs w:val="24"/>
          <w:lang w:val="ru-RU"/>
        </w:rPr>
        <w:t>лимпиады Школьников в МБОУ Зубковской ООШ № 20 в</w:t>
      </w:r>
      <w:r w:rsidR="004962E9">
        <w:rPr>
          <w:rFonts w:hAnsi="Times New Roman" w:cs="Times New Roman"/>
          <w:color w:val="000000"/>
          <w:sz w:val="24"/>
          <w:szCs w:val="24"/>
          <w:lang w:val="ru-RU"/>
        </w:rPr>
        <w:t xml:space="preserve"> 2023/2024</w:t>
      </w:r>
      <w:r w:rsidRPr="004962E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827C37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планом-графиком внутришкольного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7C37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7C37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7C37">
        <w:rPr>
          <w:rFonts w:hAnsi="Times New Roman" w:cs="Times New Roman"/>
          <w:color w:val="000000"/>
          <w:sz w:val="24"/>
          <w:szCs w:val="24"/>
          <w:lang w:val="ru-RU"/>
        </w:rPr>
        <w:t>этапа Всероссийской олимпиады школьников.</w:t>
      </w:r>
    </w:p>
    <w:p w:rsidR="00783BEC" w:rsidRDefault="00DB3E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проведения:</w:t>
      </w:r>
    </w:p>
    <w:p w:rsidR="00783BEC" w:rsidRPr="00DB3ED9" w:rsidRDefault="00DB3E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организацию и результаты школьного этапа Всероссийской олимпиады школьников;</w:t>
      </w:r>
    </w:p>
    <w:p w:rsidR="00783BEC" w:rsidRPr="00DB3ED9" w:rsidRDefault="00DB3ED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Вид контроля: тематический, заседание МО, анализ результативности.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проведения: ноябрь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Школьный этап Всероссийской олимпиады школьников проводился с</w:t>
      </w:r>
      <w:r w:rsidR="00AA37D4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.09.2023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A37D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.10.2023. В школьном этапе предметных олимпиад принимали участие учащиеся</w:t>
      </w:r>
      <w:r w:rsidR="00AA37D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A37D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-х классов.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и проведения школьного этапа предметных олимпиад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был проведен ряд мероприятий:</w:t>
      </w:r>
    </w:p>
    <w:p w:rsidR="00783BEC" w:rsidRPr="00DB3ED9" w:rsidRDefault="00DB3E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783BEC" w:rsidRPr="00DB3ED9" w:rsidRDefault="00DB3E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составлен список участников школьного этапа Всероссийской олимпиады согласно заявлениям, предоставленным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учащимися и их родителями (законными представителями);</w:t>
      </w:r>
    </w:p>
    <w:p w:rsidR="00783BEC" w:rsidRPr="00DB3ED9" w:rsidRDefault="00AA37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аудитория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проведения олимпиад,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определено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 проведения олимпиад, а также дежурные в аудитории во время проведения олимпиад;</w:t>
      </w:r>
    </w:p>
    <w:p w:rsidR="00783BEC" w:rsidRPr="00DB3ED9" w:rsidRDefault="00DB3E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проведен инструктаж с дежурными в аудитории по правилам проведения школьного этапа олимпиады;</w:t>
      </w:r>
    </w:p>
    <w:p w:rsidR="00783BEC" w:rsidRPr="00DB3ED9" w:rsidRDefault="00783BEC" w:rsidP="00AA37D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3BEC" w:rsidRPr="00DB3ED9" w:rsidRDefault="00AA37D4" w:rsidP="001150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Школьный этап проходил  онлайн на платформе РЦОИ ИРО (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// </w:t>
      </w:r>
      <w:r>
        <w:rPr>
          <w:rFonts w:hAnsi="Times New Roman" w:cs="Times New Roman"/>
          <w:color w:val="000000"/>
          <w:sz w:val="24"/>
          <w:szCs w:val="24"/>
        </w:rPr>
        <w:t>vsosh</w:t>
      </w:r>
      <w:r w:rsidR="003A20A9" w:rsidRPr="003A20A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20A9">
        <w:rPr>
          <w:rFonts w:hAnsi="Times New Roman" w:cs="Times New Roman"/>
          <w:color w:val="000000"/>
          <w:sz w:val="24"/>
          <w:szCs w:val="24"/>
        </w:rPr>
        <w:t>irro</w:t>
      </w:r>
      <w:r w:rsidR="003A20A9" w:rsidRPr="003A20A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20A9">
        <w:rPr>
          <w:rFonts w:hAnsi="Times New Roman" w:cs="Times New Roman"/>
          <w:color w:val="000000"/>
          <w:sz w:val="24"/>
          <w:szCs w:val="24"/>
        </w:rPr>
        <w:t>ru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>//)</w:t>
      </w:r>
      <w:r w:rsidR="00115011">
        <w:rPr>
          <w:rFonts w:hAnsi="Times New Roman" w:cs="Times New Roman"/>
          <w:color w:val="000000"/>
          <w:sz w:val="24"/>
          <w:szCs w:val="24"/>
          <w:lang w:val="ru-RU"/>
        </w:rPr>
        <w:t xml:space="preserve"> и СИРИУС.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501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 xml:space="preserve">екоторые предметы проходили в очном режиме. 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Олимпиадные задания 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очный тур 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были получены школой от 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региональных 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комиссий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платформе РБДО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>. Проверка олимпиадных заданий</w:t>
      </w:r>
      <w:r w:rsidR="003A20A9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этапа 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Всероссийской олимпиады по общеобразовательным предметам осуществлялись жюри</w:t>
      </w:r>
      <w:r w:rsidR="00DB3ED9">
        <w:rPr>
          <w:rFonts w:hAnsi="Times New Roman" w:cs="Times New Roman"/>
          <w:color w:val="000000"/>
          <w:sz w:val="24"/>
          <w:szCs w:val="24"/>
        </w:rPr>
        <w:t> </w:t>
      </w:r>
      <w:r w:rsidR="00DB3ED9" w:rsidRPr="00DB3ED9">
        <w:rPr>
          <w:rFonts w:hAnsi="Times New Roman" w:cs="Times New Roman"/>
          <w:color w:val="000000"/>
          <w:sz w:val="24"/>
          <w:szCs w:val="24"/>
          <w:lang w:val="ru-RU"/>
        </w:rPr>
        <w:t>согласно приказу.</w:t>
      </w:r>
    </w:p>
    <w:p w:rsidR="003A20A9" w:rsidRPr="002810DA" w:rsidRDefault="003A20A9" w:rsidP="003A20A9">
      <w:pPr>
        <w:ind w:right="180"/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810D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Таблица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Pr="002810DA">
        <w:rPr>
          <w:rFonts w:hAnsi="Times New Roman" w:cs="Times New Roman"/>
          <w:b/>
          <w:color w:val="000000"/>
          <w:sz w:val="24"/>
          <w:szCs w:val="24"/>
          <w:lang w:val="ru-RU"/>
        </w:rPr>
        <w:t>1. Статистический анализ школьного этапа олимпиады</w:t>
      </w:r>
    </w:p>
    <w:p w:rsidR="003A20A9" w:rsidRDefault="003A20A9" w:rsidP="003A20A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8"/>
        <w:tblW w:w="9322" w:type="dxa"/>
        <w:tblLook w:val="04A0"/>
      </w:tblPr>
      <w:tblGrid>
        <w:gridCol w:w="1722"/>
        <w:gridCol w:w="1854"/>
        <w:gridCol w:w="3713"/>
        <w:gridCol w:w="756"/>
        <w:gridCol w:w="1277"/>
      </w:tblGrid>
      <w:tr w:rsidR="003A20A9" w:rsidTr="00AF5A14">
        <w:trPr>
          <w:trHeight w:val="315"/>
        </w:trPr>
        <w:tc>
          <w:tcPr>
            <w:tcW w:w="1722" w:type="dxa"/>
            <w:vMerge w:val="restart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854" w:type="dxa"/>
            <w:vMerge w:val="restart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классе</w:t>
            </w:r>
          </w:p>
        </w:tc>
        <w:tc>
          <w:tcPr>
            <w:tcW w:w="3713" w:type="dxa"/>
            <w:vMerge w:val="restart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них: количество человек- участники школьного этапа олимпиады</w:t>
            </w:r>
          </w:p>
        </w:tc>
        <w:tc>
          <w:tcPr>
            <w:tcW w:w="2033" w:type="dxa"/>
            <w:gridSpan w:val="2"/>
            <w:tcBorders>
              <w:bottom w:val="nil"/>
            </w:tcBorders>
          </w:tcPr>
          <w:p w:rsidR="003A20A9" w:rsidRDefault="003A20A9" w:rsidP="00DF1D79">
            <w:pPr>
              <w:ind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участия</w:t>
            </w:r>
          </w:p>
        </w:tc>
      </w:tr>
      <w:tr w:rsidR="003A20A9" w:rsidTr="00AF5A14">
        <w:trPr>
          <w:trHeight w:val="580"/>
        </w:trPr>
        <w:tc>
          <w:tcPr>
            <w:tcW w:w="1722" w:type="dxa"/>
            <w:vMerge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vMerge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3" w:type="dxa"/>
            <w:vMerge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  <w:gridSpan w:val="2"/>
            <w:tcBorders>
              <w:top w:val="nil"/>
            </w:tcBorders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20A9" w:rsidTr="00AF5A14">
        <w:tc>
          <w:tcPr>
            <w:tcW w:w="1722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854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13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33" w:type="dxa"/>
            <w:gridSpan w:val="2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3A20A9" w:rsidTr="00AF5A14">
        <w:tc>
          <w:tcPr>
            <w:tcW w:w="1722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6класс</w:t>
            </w:r>
          </w:p>
        </w:tc>
        <w:tc>
          <w:tcPr>
            <w:tcW w:w="1854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13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33" w:type="dxa"/>
            <w:gridSpan w:val="2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</w:tr>
      <w:tr w:rsidR="003A20A9" w:rsidTr="00AF5A14">
        <w:tc>
          <w:tcPr>
            <w:tcW w:w="1722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854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13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33" w:type="dxa"/>
            <w:gridSpan w:val="2"/>
          </w:tcPr>
          <w:p w:rsidR="003A20A9" w:rsidRDefault="00AF5A14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</w:tr>
      <w:tr w:rsidR="003A20A9" w:rsidTr="00AF5A14">
        <w:tc>
          <w:tcPr>
            <w:tcW w:w="1722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854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13" w:type="dxa"/>
          </w:tcPr>
          <w:p w:rsidR="003A20A9" w:rsidRDefault="00AF5A14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  <w:tcBorders>
              <w:right w:val="nil"/>
            </w:tcBorders>
          </w:tcPr>
          <w:p w:rsidR="003A20A9" w:rsidRDefault="00AF5A14" w:rsidP="00DF1D79">
            <w:pPr>
              <w:ind w:right="-130" w:hanging="5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7" w:type="dxa"/>
            <w:tcBorders>
              <w:left w:val="nil"/>
            </w:tcBorders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20A9" w:rsidTr="00AF5A14">
        <w:tc>
          <w:tcPr>
            <w:tcW w:w="1722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854" w:type="dxa"/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13" w:type="dxa"/>
          </w:tcPr>
          <w:p w:rsidR="003A20A9" w:rsidRDefault="00AF5A14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56" w:type="dxa"/>
            <w:tcBorders>
              <w:right w:val="nil"/>
            </w:tcBorders>
          </w:tcPr>
          <w:p w:rsidR="003A20A9" w:rsidRDefault="00AF5A14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7" w:type="dxa"/>
            <w:tcBorders>
              <w:left w:val="nil"/>
            </w:tcBorders>
          </w:tcPr>
          <w:p w:rsidR="003A20A9" w:rsidRDefault="003A20A9" w:rsidP="00DF1D7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20A9" w:rsidTr="00AF5A14">
        <w:tc>
          <w:tcPr>
            <w:tcW w:w="1722" w:type="dxa"/>
          </w:tcPr>
          <w:p w:rsidR="003A20A9" w:rsidRPr="002810DA" w:rsidRDefault="003A20A9" w:rsidP="00DF1D79">
            <w:pPr>
              <w:ind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810D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Итого: </w:t>
            </w:r>
          </w:p>
        </w:tc>
        <w:tc>
          <w:tcPr>
            <w:tcW w:w="1854" w:type="dxa"/>
          </w:tcPr>
          <w:p w:rsidR="003A20A9" w:rsidRPr="002810DA" w:rsidRDefault="003A20A9" w:rsidP="00DF1D79">
            <w:pPr>
              <w:ind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713" w:type="dxa"/>
          </w:tcPr>
          <w:p w:rsidR="003A20A9" w:rsidRPr="002810DA" w:rsidRDefault="00AF5A14" w:rsidP="00DF1D79">
            <w:pPr>
              <w:ind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033" w:type="dxa"/>
            <w:gridSpan w:val="2"/>
          </w:tcPr>
          <w:p w:rsidR="003A20A9" w:rsidRPr="00AF5A14" w:rsidRDefault="00AF5A14" w:rsidP="00DF1D79">
            <w:pPr>
              <w:ind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5A1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78</w:t>
            </w:r>
          </w:p>
        </w:tc>
      </w:tr>
    </w:tbl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</w:t>
      </w:r>
      <w:r w:rsidR="00AF5A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Сравнительный анализ количества участников школьного этапа Всероссийской олимпиады школьников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66"/>
        <w:gridCol w:w="937"/>
        <w:gridCol w:w="937"/>
        <w:gridCol w:w="937"/>
      </w:tblGrid>
      <w:tr w:rsidR="00783B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3BEC" w:rsidRDefault="00DB3E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</w:t>
            </w:r>
          </w:p>
        </w:tc>
      </w:tr>
      <w:tr w:rsidR="00783B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3BEC" w:rsidRPr="00DB3ED9" w:rsidRDefault="00DB3E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3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Pr="00AF5A14" w:rsidRDefault="00AF5A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Pr="00AF5A14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Pr="00AF5A14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F5A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учебном году наблюдается уменьшение количества участников на</w:t>
      </w:r>
      <w:r w:rsidR="00AF5A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1 (в сравнении с прошлым учебным годом).</w:t>
      </w:r>
    </w:p>
    <w:p w:rsidR="00783BEC" w:rsidRDefault="00DB3ED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</w:t>
      </w:r>
      <w:r w:rsidR="00AF5A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Количество участников школьного этапа Всероссийской олимпиады школьников 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 по предметам</w:t>
      </w:r>
    </w:p>
    <w:tbl>
      <w:tblPr>
        <w:tblW w:w="9840" w:type="dxa"/>
        <w:tblInd w:w="113" w:type="dxa"/>
        <w:tblLook w:val="04A0"/>
      </w:tblPr>
      <w:tblGrid>
        <w:gridCol w:w="456"/>
        <w:gridCol w:w="2208"/>
        <w:gridCol w:w="2043"/>
        <w:gridCol w:w="828"/>
        <w:gridCol w:w="943"/>
        <w:gridCol w:w="818"/>
        <w:gridCol w:w="817"/>
        <w:gridCol w:w="815"/>
        <w:gridCol w:w="912"/>
      </w:tblGrid>
      <w:tr w:rsidR="00AF5A14" w:rsidRPr="002810DA" w:rsidTr="00F26BFB"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A14" w:rsidRPr="002810DA" w:rsidRDefault="00AF5A14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A14" w:rsidRPr="002810DA" w:rsidRDefault="00AF5A14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A14" w:rsidRPr="002810DA" w:rsidRDefault="00AF5A14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проведения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A14" w:rsidRPr="002810DA" w:rsidRDefault="00AF5A14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Участники олимпиады</w:t>
            </w:r>
          </w:p>
        </w:tc>
      </w:tr>
      <w:tr w:rsidR="00F26BFB" w:rsidRPr="002810DA" w:rsidTr="00F26BFB">
        <w:trPr>
          <w:trHeight w:val="4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кл.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AD72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</w:t>
            </w: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 кл.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 кл.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 кл.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13-14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15-16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18-19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(МХК)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20-21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Испанский, итальянский  язык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Китайский язык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22-23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Краеведение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25-27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Физическая культура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29-30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9B6E14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  <w:t>10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 сентября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AD72A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2AB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3-4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Немецкий язык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6-7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9-11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F26BFB" w:rsidRPr="002810DA" w:rsidTr="00F26BFB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9-14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16-18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19-20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23-24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8D4853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25-26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8D4853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8D4853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27-28 октября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8D4853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F26BFB" w:rsidRPr="002810DA" w:rsidTr="00F26BF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10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F26BFB" w:rsidP="00DF1D7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2810DA" w:rsidRDefault="00115011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8D4853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D4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8D4853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D4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8D4853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D4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8D4853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D4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8D4853" w:rsidRDefault="00F26BFB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D4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011" w:rsidRPr="008D4853" w:rsidRDefault="008D4853" w:rsidP="008D48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D4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90</w:t>
            </w:r>
          </w:p>
        </w:tc>
      </w:tr>
    </w:tbl>
    <w:p w:rsidR="00AF5A14" w:rsidRPr="002810DA" w:rsidRDefault="00AF5A14" w:rsidP="00AF5A14">
      <w:pPr>
        <w:ind w:right="180"/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наибольшее количество участников олимпиады наблюдается по предметам </w:t>
      </w:r>
      <w:r w:rsidR="008D4853">
        <w:rPr>
          <w:rFonts w:hAnsi="Times New Roman" w:cs="Times New Roman"/>
          <w:color w:val="000000"/>
          <w:sz w:val="24"/>
          <w:szCs w:val="24"/>
          <w:lang w:val="ru-RU"/>
        </w:rPr>
        <w:t>немецкий язык и биология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. Очень низкий показатель по таким предметам, как </w:t>
      </w:r>
      <w:r w:rsidR="008D4853">
        <w:rPr>
          <w:rFonts w:hAnsi="Times New Roman" w:cs="Times New Roman"/>
          <w:color w:val="000000"/>
          <w:sz w:val="24"/>
          <w:szCs w:val="24"/>
          <w:lang w:val="ru-RU"/>
        </w:rPr>
        <w:t>математика. Нет  участников олимпиады  по таким предметам, как литература, технология, искусство, физика, химия, информатика.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</w:t>
      </w:r>
      <w:r w:rsidR="008D4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Сравнительный анализ количества участников школьного этапа Всероссийской олимпиады школьников по предметам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"/>
        <w:gridCol w:w="2565"/>
        <w:gridCol w:w="2019"/>
        <w:gridCol w:w="2019"/>
        <w:gridCol w:w="2019"/>
      </w:tblGrid>
      <w:tr w:rsidR="00783B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783B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783B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783B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 учебный год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A40B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(МХК)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Испанский, итальянский 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9B6E14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9B6E14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9B6E1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9B6E1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9B6E1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Немецкий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8D4853" w:rsidT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Default="008D4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853" w:rsidRPr="002810DA" w:rsidRDefault="008D4853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 w:rsidP="00AB59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853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AB59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AB59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984" w:rsidRPr="002810DA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84" w:rsidTr="00DF1D7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Default="00AB5984" w:rsidP="00AB59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984" w:rsidRPr="00AB5984" w:rsidRDefault="00AB5984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B5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984" w:rsidRPr="002810DA" w:rsidRDefault="00AB5984" w:rsidP="00AB59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40B19" w:rsidRDefault="00A40B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984" w:rsidRPr="00A40B19" w:rsidRDefault="00A40B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</w:tbl>
    <w:p w:rsidR="00783BEC" w:rsidRPr="00DB3ED9" w:rsidRDefault="00DB3ED9" w:rsidP="00DF1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участников школьного этапа </w:t>
      </w:r>
      <w:r w:rsidR="00A40B19">
        <w:rPr>
          <w:rFonts w:hAnsi="Times New Roman" w:cs="Times New Roman"/>
          <w:color w:val="000000"/>
          <w:sz w:val="24"/>
          <w:szCs w:val="24"/>
          <w:lang w:val="ru-RU"/>
        </w:rPr>
        <w:t xml:space="preserve">по сравнению с прошлым годом увеличилось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A40B19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</w:t>
      </w:r>
      <w:r w:rsidR="00DF1D79" w:rsidRPr="00DB3ED9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 w:rsidR="00DF1D79">
        <w:rPr>
          <w:rFonts w:hAnsi="Times New Roman" w:cs="Times New Roman"/>
          <w:color w:val="000000"/>
          <w:sz w:val="24"/>
          <w:szCs w:val="24"/>
        </w:rPr>
        <w:t> </w:t>
      </w:r>
      <w:r w:rsidR="00DF1D79" w:rsidRPr="00DB3ED9">
        <w:rPr>
          <w:rFonts w:hAnsi="Times New Roman" w:cs="Times New Roman"/>
          <w:color w:val="000000"/>
          <w:sz w:val="24"/>
          <w:szCs w:val="24"/>
          <w:lang w:val="ru-RU"/>
        </w:rPr>
        <w:t>году увеличилось количество участников олимпиады по</w:t>
      </w:r>
      <w:r w:rsidR="00DF1D79">
        <w:rPr>
          <w:rFonts w:hAnsi="Times New Roman" w:cs="Times New Roman"/>
          <w:color w:val="000000"/>
          <w:sz w:val="24"/>
          <w:szCs w:val="24"/>
          <w:lang w:val="ru-RU"/>
        </w:rPr>
        <w:t xml:space="preserve"> краеведению, географии, немецкому языку, обществознанию, биологии, обж,</w:t>
      </w:r>
      <w:r w:rsidR="00DF1D79"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истории</w:t>
      </w:r>
      <w:r w:rsidR="00DF1D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F1D79" w:rsidRPr="00DB3E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снижение количества участников школьного этапа Всероссийской олимпиады школьников по следующим </w:t>
      </w:r>
      <w:r w:rsidR="00DF1D7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предметам: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литературе,  математике,  физике, </w:t>
      </w:r>
      <w:r w:rsidR="00DF1D7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</w:t>
      </w:r>
      <w:r w:rsidR="00DF1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Количество победителей и призеров школьного этапа Всероссийской олимпиады школьников 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"/>
        <w:gridCol w:w="2857"/>
        <w:gridCol w:w="1846"/>
        <w:gridCol w:w="1762"/>
        <w:gridCol w:w="1917"/>
      </w:tblGrid>
      <w:tr w:rsidR="00783BEC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победителей</w:t>
            </w:r>
          </w:p>
        </w:tc>
      </w:tr>
      <w:tr w:rsidR="00DF1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(МХК)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Испанский, итальянский 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Краеведение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9B6E14" w:rsidRDefault="00DF1D79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9B6E14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9B6E14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9B6E14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9B6E14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2</w:t>
            </w: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 w:rsidT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DF1D79" w:rsidRDefault="00DF1D7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 w:rsidT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 w:rsidT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 w:rsidT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 w:rsidTr="00DF1D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D79" w:rsidTr="003008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Default="00DF1D7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F1D79" w:rsidRPr="002810DA" w:rsidRDefault="00DF1D79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D79" w:rsidRPr="002810DA" w:rsidRDefault="00DF1D79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D79" w:rsidRDefault="00DF1D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Default="0030086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0086B" w:rsidRDefault="0030086B" w:rsidP="00DF1D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Default="0030086B" w:rsidP="00DF1D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наибольший показатель результативности участия в школьном этапе Всероссийской олимпиады школьников (более 50% победителей и призеров от общего количества участников) наблюдается по следующим предметам: </w:t>
      </w:r>
      <w:r w:rsidR="0030086B">
        <w:rPr>
          <w:rFonts w:hAnsi="Times New Roman" w:cs="Times New Roman"/>
          <w:color w:val="000000"/>
          <w:sz w:val="24"/>
          <w:szCs w:val="24"/>
          <w:lang w:val="ru-RU"/>
        </w:rPr>
        <w:t>краеведению,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культуре</w:t>
      </w:r>
      <w:r w:rsidR="0030086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что свидетельствует о качественной подготовке участников олимпиады по данным предметам.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</w:t>
      </w:r>
      <w:r w:rsidR="00300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Сравнительный анализ количества победителей</w:t>
      </w:r>
      <w:r w:rsidR="007917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призеров 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школьного этапа Всероссийской предметной олимпиады школьников за три года по предметам.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2142"/>
        <w:gridCol w:w="2279"/>
        <w:gridCol w:w="2278"/>
        <w:gridCol w:w="2484"/>
      </w:tblGrid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DB3ED9" w:rsidRDefault="003008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DB3ED9" w:rsidRDefault="003008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учебный год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учебный год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 учебный год</w:t>
            </w: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(МХК)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Испанский, итальянский  язык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Китайский язык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Краеведение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9B6E14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9B6E14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B6E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Физическая культура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9B6E14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9B6E14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9B6E14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B6E14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9</w:t>
            </w: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Немецкий язык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86B" w:rsidTr="003008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0086B" w:rsidRPr="002810DA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86B" w:rsidTr="00800A1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Default="00300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0086B" w:rsidRPr="00791724" w:rsidRDefault="0030086B" w:rsidP="003A44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9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0086B" w:rsidRPr="00791724" w:rsidRDefault="0030086B" w:rsidP="003008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9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791724" w:rsidRDefault="0030086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9172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86B" w:rsidRPr="00791724" w:rsidRDefault="0079172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9172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</w:tr>
    </w:tbl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 течение последних трех лет наблюдается стабильное количество победителей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призеров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школьного этапа Всероссийской олимпиады школьников по следующим предметам: 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>русскому языку, биологии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3BEC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 сравнении с прошлым,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учебным годом наблюдается уменьшение количества победителей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призеров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школьного этапа Всероссийской олимпиады по следующим предметам: 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>математика, немецкий язык.</w:t>
      </w:r>
    </w:p>
    <w:p w:rsidR="00791724" w:rsidRPr="00DB3ED9" w:rsidRDefault="007917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В сравнении с прошлым,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учебным годом наблюдается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увеличение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количества победителей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призеров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школьного этапа Всероссийской олимпиады по следующим предметам: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культура, география, краеведение, обж</w:t>
      </w:r>
    </w:p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7. Сравнительный анализ количества победителей</w:t>
      </w:r>
      <w:r w:rsidR="007917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призеров </w:t>
      </w: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школьного этапа Всероссийской олимпиады школьников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4"/>
        <w:gridCol w:w="1624"/>
        <w:gridCol w:w="2126"/>
        <w:gridCol w:w="2410"/>
      </w:tblGrid>
      <w:tr w:rsidR="00783BEC" w:rsidTr="00791724"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3BEC" w:rsidRDefault="00DB3E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Default="00DB3E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783BEC" w:rsidTr="00791724">
        <w:tc>
          <w:tcPr>
            <w:tcW w:w="27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3BEC" w:rsidRPr="00791724" w:rsidRDefault="00DB3E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победителей</w:t>
            </w:r>
            <w:r w:rsidR="00791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призеров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Pr="00791724" w:rsidRDefault="0079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Pr="00791724" w:rsidRDefault="0079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BEC" w:rsidRPr="00791724" w:rsidRDefault="0079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</w:tbl>
    <w:p w:rsidR="00783BEC" w:rsidRPr="00DB3ED9" w:rsidRDefault="00DB3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победителей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призеров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по школе 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увеличилось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прошлым годом на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783BEC" w:rsidRDefault="00DB3E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783BEC" w:rsidRPr="00DB3ED9" w:rsidRDefault="00DB3E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Направить обучающихся 7–</w:t>
      </w:r>
      <w:r w:rsidR="0079172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-х классов из числа победителей и призеров школьного этапа, показавших лучшие результаты, с учетом добровольного согласия учащихся и рейтинга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на муниципальный этап Всероссийской олимпиады школьников.</w:t>
      </w:r>
    </w:p>
    <w:p w:rsidR="00783BEC" w:rsidRPr="00DB3ED9" w:rsidRDefault="00DB3E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Отметить </w:t>
      </w:r>
      <w:r w:rsidR="009640E7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благодарностью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 </w:t>
      </w:r>
      <w:r w:rsidR="009640E7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русского языка, физической культуры, краеведения, географии, ОБЖ,, биологии за подготовку 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победителей и призеров школьного этапа Всероссийской олимпиады школьников.</w:t>
      </w:r>
    </w:p>
    <w:p w:rsidR="00783BEC" w:rsidRPr="00DB3ED9" w:rsidRDefault="00DB3E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3ED9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квалификации.</w:t>
      </w:r>
    </w:p>
    <w:p w:rsidR="009640E7" w:rsidRDefault="009640E7" w:rsidP="0096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40E7" w:rsidRDefault="009640E7" w:rsidP="0096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учебной работе _____________Л.С.Пустынникова</w:t>
      </w:r>
    </w:p>
    <w:p w:rsidR="009640E7" w:rsidRDefault="009640E7" w:rsidP="0096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3BEC" w:rsidRPr="009640E7" w:rsidRDefault="009640E7" w:rsidP="0096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3ED9" w:rsidRPr="009640E7">
        <w:rPr>
          <w:rFonts w:hAnsi="Times New Roman" w:cs="Times New Roman"/>
          <w:color w:val="000000"/>
          <w:sz w:val="24"/>
          <w:szCs w:val="24"/>
          <w:lang w:val="ru-RU"/>
        </w:rPr>
        <w:t>Со справкой ознакомлены:</w:t>
      </w:r>
    </w:p>
    <w:p w:rsidR="00783BEC" w:rsidRDefault="009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Богданова С.А.</w:t>
      </w:r>
    </w:p>
    <w:p w:rsidR="009640E7" w:rsidRDefault="009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Ермохина Т.Г.</w:t>
      </w:r>
    </w:p>
    <w:p w:rsidR="009640E7" w:rsidRDefault="009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Зубковаа С.В.</w:t>
      </w:r>
    </w:p>
    <w:p w:rsidR="009640E7" w:rsidRDefault="009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Дуганов С.В.</w:t>
      </w:r>
    </w:p>
    <w:p w:rsidR="009640E7" w:rsidRPr="009640E7" w:rsidRDefault="009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Степанов А.В.</w:t>
      </w:r>
    </w:p>
    <w:sectPr w:rsidR="009640E7" w:rsidRPr="009640E7" w:rsidSect="00AF5A14">
      <w:pgSz w:w="11907" w:h="1683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C4" w:rsidRDefault="00901FC4" w:rsidP="00AA37D4">
      <w:pPr>
        <w:spacing w:before="0" w:after="0"/>
      </w:pPr>
      <w:r>
        <w:separator/>
      </w:r>
    </w:p>
  </w:endnote>
  <w:endnote w:type="continuationSeparator" w:id="1">
    <w:p w:rsidR="00901FC4" w:rsidRDefault="00901FC4" w:rsidP="00AA37D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C4" w:rsidRDefault="00901FC4" w:rsidP="00AA37D4">
      <w:pPr>
        <w:spacing w:before="0" w:after="0"/>
      </w:pPr>
      <w:r>
        <w:separator/>
      </w:r>
    </w:p>
  </w:footnote>
  <w:footnote w:type="continuationSeparator" w:id="1">
    <w:p w:rsidR="00901FC4" w:rsidRDefault="00901FC4" w:rsidP="00AA37D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5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55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C02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63AA1"/>
    <w:rsid w:val="00115011"/>
    <w:rsid w:val="002D33B1"/>
    <w:rsid w:val="002D3591"/>
    <w:rsid w:val="0030086B"/>
    <w:rsid w:val="003514A0"/>
    <w:rsid w:val="003A20A9"/>
    <w:rsid w:val="004962E9"/>
    <w:rsid w:val="004F7E17"/>
    <w:rsid w:val="005A05CE"/>
    <w:rsid w:val="005A51A8"/>
    <w:rsid w:val="00653AF6"/>
    <w:rsid w:val="00783BEC"/>
    <w:rsid w:val="00791724"/>
    <w:rsid w:val="008D4853"/>
    <w:rsid w:val="00901FC4"/>
    <w:rsid w:val="009640E7"/>
    <w:rsid w:val="009B6E14"/>
    <w:rsid w:val="00A40B19"/>
    <w:rsid w:val="00AA37D4"/>
    <w:rsid w:val="00AB5984"/>
    <w:rsid w:val="00AD72AB"/>
    <w:rsid w:val="00AF5A14"/>
    <w:rsid w:val="00B73A5A"/>
    <w:rsid w:val="00DB3ED9"/>
    <w:rsid w:val="00DF1D79"/>
    <w:rsid w:val="00E438A1"/>
    <w:rsid w:val="00F01E19"/>
    <w:rsid w:val="00F2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B3ED9"/>
    <w:pPr>
      <w:spacing w:before="0" w:after="0"/>
    </w:pPr>
  </w:style>
  <w:style w:type="paragraph" w:styleId="a4">
    <w:name w:val="header"/>
    <w:basedOn w:val="a"/>
    <w:link w:val="a5"/>
    <w:uiPriority w:val="99"/>
    <w:semiHidden/>
    <w:unhideWhenUsed/>
    <w:rsid w:val="00AA37D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7D4"/>
  </w:style>
  <w:style w:type="paragraph" w:styleId="a6">
    <w:name w:val="footer"/>
    <w:basedOn w:val="a"/>
    <w:link w:val="a7"/>
    <w:uiPriority w:val="99"/>
    <w:semiHidden/>
    <w:unhideWhenUsed/>
    <w:rsid w:val="00AA37D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7D4"/>
  </w:style>
  <w:style w:type="table" w:styleId="a8">
    <w:name w:val="Table Grid"/>
    <w:basedOn w:val="a1"/>
    <w:uiPriority w:val="59"/>
    <w:rsid w:val="003A20A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A895-42F5-42F5-ABBF-1ED69F11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2023-12-13T06:53:00Z</cp:lastPrinted>
  <dcterms:created xsi:type="dcterms:W3CDTF">2011-11-02T04:15:00Z</dcterms:created>
  <dcterms:modified xsi:type="dcterms:W3CDTF">2024-06-05T05:51:00Z</dcterms:modified>
</cp:coreProperties>
</file>